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tbl>
      <w:tblPr>
        <w:tblStyle w:val="6"/>
        <w:tblpPr w:leftFromText="180" w:rightFromText="180" w:vertAnchor="page" w:horzAnchor="margin" w:tblpY="283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507"/>
        <w:gridCol w:w="2693"/>
      </w:tblGrid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时间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13:1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-13:3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外国语学院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13:3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-13: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公共外语教育学院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-14: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经济学院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0-14: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30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行政学院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商学院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30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东北亚研究院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30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-15: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数学学院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原子与分子物理研究所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:30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材料科学与工程学院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:30-1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通信工程学院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计算机科学与技术学院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30</w:t>
            </w:r>
          </w:p>
        </w:tc>
      </w:tr>
      <w:tr>
        <w:trPr>
          <w:trHeight w:val="401" w:hRule="atLeast"/>
        </w:trPr>
        <w:tc>
          <w:tcPr>
            <w:tcW w:w="155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45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地球探测科学与技术学院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30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50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sz w:val="36"/>
          <w:szCs w:val="32"/>
          <w:lang w:eastAsia="zh-CN"/>
        </w:rPr>
      </w:pPr>
      <w:r>
        <w:rPr>
          <w:rFonts w:hint="eastAsia" w:ascii="方正小标宋简体" w:eastAsia="方正小标宋简体"/>
          <w:sz w:val="36"/>
          <w:szCs w:val="32"/>
        </w:rPr>
        <w:t>吉林大学国际化示范基地建设计划</w:t>
      </w:r>
      <w:r>
        <w:rPr>
          <w:rFonts w:ascii="Times New Roman" w:hAnsi="Times New Roman" w:eastAsia="方正小标宋简体" w:cs="Times New Roman"/>
          <w:sz w:val="36"/>
          <w:szCs w:val="32"/>
        </w:rPr>
        <w:t>答辩顺序和时间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283</Characters>
  <Lines>2</Lines>
  <Paragraphs>1</Paragraphs>
  <ScaleCrop>false</ScaleCrop>
  <LinksUpToDate>false</LinksUpToDate>
  <CharactersWithSpaces>331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2017-12-02T00:56:00Z</dcterms:created>
  <dc:creator>User</dc:creator>
  <cp:lastModifiedBy>BB的 iPhone</cp:lastModifiedBy>
  <dcterms:modified xsi:type="dcterms:W3CDTF">2017-12-01T20:15:58Z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